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5D9BA">
      <w:pPr>
        <w:spacing w:line="720" w:lineRule="exact"/>
        <w:jc w:val="center"/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关于开展202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年秋季学期开学实验室</w:t>
      </w:r>
    </w:p>
    <w:p w14:paraId="6B2E9C1E">
      <w:pPr>
        <w:spacing w:line="720" w:lineRule="exact"/>
        <w:jc w:val="center"/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安全检查的通知</w:t>
      </w:r>
    </w:p>
    <w:p w14:paraId="76282C26">
      <w:pPr>
        <w:spacing w:line="360" w:lineRule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7E329461">
      <w:pPr>
        <w:spacing w:line="360" w:lineRule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各教学科研单位：</w:t>
      </w:r>
    </w:p>
    <w:p w14:paraId="2EA2C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根据教育部及四川省教育厅关于实验室安全工作的要求，为进一步加强学校实验室安全管理，确保秋季学期开学实验室各项工作平稳有序运行，消除安全隐患，有效防范安全事故发生，保障广大师生人身安全和校园和谐稳定，学校将开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2025年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秋季学期开学实验室安全全覆盖检查。现将有关事项通知如下：</w:t>
      </w:r>
    </w:p>
    <w:p w14:paraId="61860FC8">
      <w:pPr>
        <w:spacing w:line="360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一、检查范围</w:t>
      </w:r>
    </w:p>
    <w:p w14:paraId="6F185620">
      <w:pPr>
        <w:spacing w:line="360" w:lineRule="auto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全校教学科研实验室及相关场所。</w:t>
      </w:r>
    </w:p>
    <w:p w14:paraId="13AD0E1A">
      <w:pPr>
        <w:spacing w:line="360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二、检查内容</w:t>
      </w:r>
    </w:p>
    <w:p w14:paraId="7102B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各教学科研单位对照《高等学校实验室安全检查项目表（202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）》（附件1），全面排查实验室安全责任体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系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（如学院与实验室负责人、实验室负责人与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实验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指导老师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或实验项目负责人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签订安全责任书或承诺书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附件2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实验室危险源分级管控要求及安全管理制度等落实情况，重点对实验室危险化学品、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高温加热设备、高压容器（含气瓶、燃气罐等）、特种设备与常规冷热设备、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病原微生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物等的安全使用与管理进行隐患排查整改。</w:t>
      </w:r>
    </w:p>
    <w:p w14:paraId="0FCC5C19">
      <w:pPr>
        <w:spacing w:line="360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三、时间安排</w:t>
      </w:r>
    </w:p>
    <w:p w14:paraId="2DF5E873">
      <w:pPr>
        <w:spacing w:line="360" w:lineRule="auto"/>
        <w:ind w:firstLine="643" w:firstLineChars="200"/>
        <w:rPr>
          <w:rFonts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  <w:t>（一）各教学科研单位自查自纠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（9月1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日-9月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3日）</w:t>
      </w:r>
    </w:p>
    <w:p w14:paraId="4DE35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各单位严格按照工作要求和检查内容，对本单位各类教学科研实验室及相关场所开展全方位、立体式自查，对自查中发现的隐患问题建立台账并逐条整改，填写《202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年秋季学期开学实验室安全自查表》（附件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），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并于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u w:val="single"/>
        </w:rPr>
        <w:t>9月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u w:val="single"/>
        </w:rPr>
        <w:t>3日前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将附件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（Excel版本+加盖单位公章的PDF扫描版本）发送至基地与实验室管理处曾老师处（邮箱：</w:t>
      </w:r>
      <w:r>
        <w:fldChar w:fldCharType="begin"/>
      </w:r>
      <w:r>
        <w:instrText xml:space="preserve"> HYPERLINK "mailto:252619324@qq.com" </w:instrText>
      </w:r>
      <w:r>
        <w:fldChar w:fldCharType="separate"/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252619324@qq.com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fldChar w:fldCharType="end"/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，联系电话：</w:t>
      </w:r>
      <w:bookmarkStart w:id="0" w:name="_Hlk112668143"/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028-86291871</w:t>
      </w:r>
      <w:bookmarkEnd w:id="0"/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u w:val="single"/>
        </w:rPr>
        <w:t>）。</w:t>
      </w:r>
    </w:p>
    <w:p w14:paraId="252F77B8">
      <w:pPr>
        <w:spacing w:line="360" w:lineRule="auto"/>
        <w:ind w:firstLine="643" w:firstLineChars="200"/>
        <w:rPr>
          <w:rFonts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  <w:t>（二）学校现场检查（</w:t>
      </w:r>
      <w:r>
        <w:rPr>
          <w:rFonts w:hint="eastAsia" w:ascii="楷体_GB2312" w:hAnsi="Times New Roman" w:eastAsia="楷体_GB2312" w:cs="Times New Roman"/>
          <w:b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月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24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日-10月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30</w:t>
      </w:r>
      <w:r>
        <w:rPr>
          <w:rFonts w:hint="eastAsia" w:ascii="楷体_GB2312" w:hAnsi="Times New Roman" w:eastAsia="楷体_GB2312" w:cs="Times New Roman"/>
          <w:b/>
          <w:bCs/>
          <w:kern w:val="0"/>
          <w:sz w:val="32"/>
          <w:szCs w:val="32"/>
        </w:rPr>
        <w:t>日</w:t>
      </w:r>
      <w:r>
        <w:rPr>
          <w:rFonts w:hint="eastAsia" w:ascii="楷体_GB2312" w:hAnsi="Times New Roman" w:eastAsia="楷体_GB2312" w:cs="Times New Roman"/>
          <w:b/>
          <w:bCs/>
          <w:color w:val="000000"/>
          <w:kern w:val="0"/>
          <w:sz w:val="32"/>
          <w:szCs w:val="32"/>
        </w:rPr>
        <w:t>）</w:t>
      </w:r>
    </w:p>
    <w:p w14:paraId="2910A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在各教学科研单位自查自纠基础上，基地与实验室管理处、保卫处、后勤管理处等职能部门组成联合督查组进行全覆盖现场检查。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现场检查情况以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整改通知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形式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分发给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各单位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同时通过实验室巡查系统发送给实验室安全负责人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  <w:bookmarkStart w:id="1" w:name="_GoBack"/>
      <w:bookmarkEnd w:id="1"/>
    </w:p>
    <w:p w14:paraId="7EE99726">
      <w:pPr>
        <w:spacing w:line="360" w:lineRule="auto"/>
        <w:ind w:firstLine="643" w:firstLineChars="200"/>
        <w:rPr>
          <w:rFonts w:ascii="楷体_GB2312" w:hAnsi="Times New Roman" w:eastAsia="楷体_GB2312" w:cs="Times New Roman"/>
          <w:b/>
          <w:bCs/>
          <w:color w:val="auto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bCs/>
          <w:color w:val="auto"/>
          <w:kern w:val="0"/>
          <w:sz w:val="32"/>
          <w:szCs w:val="32"/>
        </w:rPr>
        <w:t>（三）各教学科研单位整改阶段</w:t>
      </w:r>
    </w:p>
    <w:p w14:paraId="7E4D6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各单位收到整改通知书后一周内完成整改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房间负责人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须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实验室巡查系统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中要求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的整改任务下提交整改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包括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整改措施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佐证照片），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单位负责人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审核提交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 w14:paraId="78A808BF">
      <w:pPr>
        <w:spacing w:line="360" w:lineRule="auto"/>
        <w:ind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四、工作要求</w:t>
      </w:r>
    </w:p>
    <w:p w14:paraId="61647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各教学科研单位要提高政治站位，深刻认识实验室安全工作的极端重要性，务必做好自查自纠工作。</w:t>
      </w:r>
    </w:p>
    <w:p w14:paraId="15375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（一）做好重点排查。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各单位要重点排查实验室水电气、易制毒（爆）危化品、病原微生物、高温加热设备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尤其是烘箱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、压力容器（包括燃气罐）、有毒有害废弃物处置等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重要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危险源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的安全使用管理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，确保实验室重要危险源数量清晰、位置准确、风险可控、管理有序。按照要求张贴安全警示标志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安全操作规程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实验人员应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严格遵守安全操作规程。</w:t>
      </w:r>
    </w:p>
    <w:p w14:paraId="71A9B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（二）落实监管责任。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各单位要切实做好实验室安全隐患排查与整治工作，按照“谁主管、谁负责”的原则，各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实验室负责人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实验室安全工作的直接责任人，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将安全隐患排查和整改工作落实到具体责任人，立查立改，消除安全隐患，杜绝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安全事故。</w:t>
      </w:r>
    </w:p>
    <w:p w14:paraId="16EDB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（三）建立应急预案。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各单位要根据本单位实验室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主要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危险源实际使用情况，制定相应管理办法和应急管控措施，建立实验室安全管理长效机制，保障实验室安全稳定运行。一旦发生安全事故，及时妥善处置，并立即按相关规定和程序上报，不得迟报、漏报、瞒报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 w14:paraId="38B1BF31">
      <w:pPr>
        <w:widowControl/>
        <w:adjustRightInd w:val="0"/>
        <w:snapToGrid w:val="0"/>
        <w:rPr>
          <w:rFonts w:hint="eastAsia" w:ascii="仿宋_GB2312" w:hAnsi="宋体" w:eastAsia="仿宋_GB2312"/>
          <w:bCs/>
          <w:sz w:val="32"/>
          <w:szCs w:val="32"/>
        </w:rPr>
      </w:pPr>
    </w:p>
    <w:p w14:paraId="160094B8">
      <w:pPr>
        <w:spacing w:line="360" w:lineRule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附件：1.高等学校实验室安全检查项目表（202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年）</w:t>
      </w:r>
    </w:p>
    <w:p w14:paraId="7DE12EC8">
      <w:pPr>
        <w:numPr>
          <w:ilvl w:val="0"/>
          <w:numId w:val="0"/>
        </w:numPr>
        <w:spacing w:line="360" w:lineRule="auto"/>
        <w:ind w:firstLine="960" w:firstLineChars="30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2.二级单位实验室安全责任人安全责任书、实验室人员安全承诺书</w:t>
      </w:r>
    </w:p>
    <w:p w14:paraId="2F56091F">
      <w:pPr>
        <w:spacing w:line="360" w:lineRule="auto"/>
        <w:ind w:firstLine="960" w:firstLineChars="3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.202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年秋季学期开学实验室安全自查表</w:t>
      </w:r>
    </w:p>
    <w:p w14:paraId="6EC89301">
      <w:pPr>
        <w:widowControl/>
        <w:adjustRightInd w:val="0"/>
        <w:snapToGrid w:val="0"/>
        <w:rPr>
          <w:rFonts w:hint="eastAsia" w:ascii="仿宋_GB2312" w:hAnsi="宋体" w:eastAsia="仿宋_GB2312"/>
          <w:bCs/>
          <w:sz w:val="32"/>
          <w:szCs w:val="32"/>
        </w:rPr>
      </w:pPr>
    </w:p>
    <w:p w14:paraId="6637DC1D">
      <w:pPr>
        <w:widowControl/>
        <w:adjustRightInd w:val="0"/>
        <w:snapToGrid w:val="0"/>
        <w:rPr>
          <w:rFonts w:hint="eastAsia" w:ascii="仿宋_GB2312" w:hAnsi="宋体" w:eastAsia="仿宋_GB2312"/>
          <w:bCs/>
          <w:sz w:val="32"/>
          <w:szCs w:val="32"/>
        </w:rPr>
      </w:pPr>
    </w:p>
    <w:p w14:paraId="1FBC7BF6">
      <w:pPr>
        <w:widowControl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基地与实验室管理处</w:t>
      </w:r>
    </w:p>
    <w:p w14:paraId="1CEC43BE"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                            </w:t>
      </w:r>
      <w:r>
        <w:rPr>
          <w:rFonts w:ascii="仿宋_GB2312" w:hAnsi="宋体" w:eastAsia="仿宋_GB2312"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</w:t>
      </w:r>
      <w:r>
        <w:rPr>
          <w:rFonts w:ascii="仿宋_GB2312" w:hAnsi="宋体" w:eastAsia="仿宋_GB2312"/>
          <w:bCs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202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  <w:szCs w:val="32"/>
        </w:rPr>
        <w:t>年</w:t>
      </w:r>
      <w:r>
        <w:rPr>
          <w:rFonts w:ascii="仿宋_GB2312" w:hAnsi="宋体" w:eastAsia="仿宋_GB2312"/>
          <w:bCs/>
          <w:sz w:val="32"/>
          <w:szCs w:val="32"/>
        </w:rPr>
        <w:t>9</w:t>
      </w:r>
      <w:r>
        <w:rPr>
          <w:rFonts w:hint="eastAsia" w:ascii="仿宋_GB2312" w:hAnsi="宋体" w:eastAsia="仿宋_GB2312"/>
          <w:bCs/>
          <w:sz w:val="32"/>
          <w:szCs w:val="32"/>
        </w:rPr>
        <w:t>月1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  <w:szCs w:val="32"/>
        </w:rPr>
        <w:t>日</w:t>
      </w:r>
    </w:p>
    <w:sectPr>
      <w:pgSz w:w="11906" w:h="16838"/>
      <w:pgMar w:top="1701" w:right="1474" w:bottom="158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Mzk0N2IzYWZhZjhiZTBiMDdhOTVkMzRkZDcyNDAifQ=="/>
  </w:docVars>
  <w:rsids>
    <w:rsidRoot w:val="003C331B"/>
    <w:rsid w:val="0000254B"/>
    <w:rsid w:val="00006EA5"/>
    <w:rsid w:val="00017780"/>
    <w:rsid w:val="000315F4"/>
    <w:rsid w:val="00093000"/>
    <w:rsid w:val="000E08C0"/>
    <w:rsid w:val="000F0BDD"/>
    <w:rsid w:val="00132034"/>
    <w:rsid w:val="001613AF"/>
    <w:rsid w:val="001907AD"/>
    <w:rsid w:val="001F1D68"/>
    <w:rsid w:val="002C5076"/>
    <w:rsid w:val="002E52ED"/>
    <w:rsid w:val="003B18A6"/>
    <w:rsid w:val="003C331B"/>
    <w:rsid w:val="004C187A"/>
    <w:rsid w:val="00585B19"/>
    <w:rsid w:val="00616ED9"/>
    <w:rsid w:val="0062203E"/>
    <w:rsid w:val="00672DFF"/>
    <w:rsid w:val="006910B9"/>
    <w:rsid w:val="00695284"/>
    <w:rsid w:val="006D50D1"/>
    <w:rsid w:val="00830B6A"/>
    <w:rsid w:val="0088538F"/>
    <w:rsid w:val="0090433F"/>
    <w:rsid w:val="009214F3"/>
    <w:rsid w:val="00955711"/>
    <w:rsid w:val="00970D07"/>
    <w:rsid w:val="00971E20"/>
    <w:rsid w:val="009A6514"/>
    <w:rsid w:val="009C5DCF"/>
    <w:rsid w:val="00A43430"/>
    <w:rsid w:val="00A470FB"/>
    <w:rsid w:val="00A75F03"/>
    <w:rsid w:val="00A83125"/>
    <w:rsid w:val="00C20FB9"/>
    <w:rsid w:val="00C67939"/>
    <w:rsid w:val="00CA147E"/>
    <w:rsid w:val="00CB4329"/>
    <w:rsid w:val="00CE6B07"/>
    <w:rsid w:val="00D1335E"/>
    <w:rsid w:val="00D741A9"/>
    <w:rsid w:val="00D830AF"/>
    <w:rsid w:val="00DD03EA"/>
    <w:rsid w:val="00E02C16"/>
    <w:rsid w:val="00E4333A"/>
    <w:rsid w:val="00E43DF0"/>
    <w:rsid w:val="00E936E2"/>
    <w:rsid w:val="00EF7121"/>
    <w:rsid w:val="00F04B2F"/>
    <w:rsid w:val="00F12CA1"/>
    <w:rsid w:val="00F173C6"/>
    <w:rsid w:val="010D5FC6"/>
    <w:rsid w:val="024B242C"/>
    <w:rsid w:val="03327FC8"/>
    <w:rsid w:val="043A35D9"/>
    <w:rsid w:val="04F01EE9"/>
    <w:rsid w:val="07D85885"/>
    <w:rsid w:val="08895A64"/>
    <w:rsid w:val="0B0D042D"/>
    <w:rsid w:val="0BBC5392"/>
    <w:rsid w:val="10715F8F"/>
    <w:rsid w:val="10A32A16"/>
    <w:rsid w:val="17CC0594"/>
    <w:rsid w:val="19301638"/>
    <w:rsid w:val="1A7B3FCF"/>
    <w:rsid w:val="1C3E3E92"/>
    <w:rsid w:val="1CF246FE"/>
    <w:rsid w:val="1EF106DC"/>
    <w:rsid w:val="211B7A21"/>
    <w:rsid w:val="22456F79"/>
    <w:rsid w:val="27390D16"/>
    <w:rsid w:val="275163C0"/>
    <w:rsid w:val="29133F64"/>
    <w:rsid w:val="2C73237D"/>
    <w:rsid w:val="2D9526E9"/>
    <w:rsid w:val="2F4D3910"/>
    <w:rsid w:val="2FEF2C1A"/>
    <w:rsid w:val="300C5018"/>
    <w:rsid w:val="302A446B"/>
    <w:rsid w:val="3511366C"/>
    <w:rsid w:val="38EB286B"/>
    <w:rsid w:val="3971644D"/>
    <w:rsid w:val="39F50E2C"/>
    <w:rsid w:val="3ADD5D93"/>
    <w:rsid w:val="3C0E54D5"/>
    <w:rsid w:val="3D1E069A"/>
    <w:rsid w:val="3E0C2BE9"/>
    <w:rsid w:val="3FDB2873"/>
    <w:rsid w:val="42F84669"/>
    <w:rsid w:val="42FA676C"/>
    <w:rsid w:val="49F42B54"/>
    <w:rsid w:val="4A870C32"/>
    <w:rsid w:val="4B9F509C"/>
    <w:rsid w:val="4D5602F6"/>
    <w:rsid w:val="4DF06083"/>
    <w:rsid w:val="4E7078A2"/>
    <w:rsid w:val="4F9718A1"/>
    <w:rsid w:val="51A6383A"/>
    <w:rsid w:val="52667430"/>
    <w:rsid w:val="56AD2D63"/>
    <w:rsid w:val="56CC110F"/>
    <w:rsid w:val="59DC66B4"/>
    <w:rsid w:val="5D23628F"/>
    <w:rsid w:val="5E435D5B"/>
    <w:rsid w:val="614333E6"/>
    <w:rsid w:val="61792E59"/>
    <w:rsid w:val="61E55753"/>
    <w:rsid w:val="620E3B08"/>
    <w:rsid w:val="66A86E60"/>
    <w:rsid w:val="67397CFB"/>
    <w:rsid w:val="6931512E"/>
    <w:rsid w:val="6BA97384"/>
    <w:rsid w:val="6D3909BE"/>
    <w:rsid w:val="6EA91EB1"/>
    <w:rsid w:val="707D3C19"/>
    <w:rsid w:val="72C13B68"/>
    <w:rsid w:val="754D6E23"/>
    <w:rsid w:val="776808B4"/>
    <w:rsid w:val="785E5813"/>
    <w:rsid w:val="7A1F0A4E"/>
    <w:rsid w:val="7B221FDD"/>
    <w:rsid w:val="7CCB1BDF"/>
    <w:rsid w:val="7F9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FollowedHyperlink"/>
    <w:basedOn w:val="7"/>
    <w:autoRedefine/>
    <w:qFormat/>
    <w:uiPriority w:val="0"/>
    <w:rPr>
      <w:color w:val="595959"/>
      <w:sz w:val="13"/>
      <w:szCs w:val="13"/>
      <w:u w:val="none"/>
    </w:rPr>
  </w:style>
  <w:style w:type="character" w:styleId="10">
    <w:name w:val="Hyperlink"/>
    <w:basedOn w:val="7"/>
    <w:autoRedefine/>
    <w:qFormat/>
    <w:uiPriority w:val="0"/>
    <w:rPr>
      <w:color w:val="595959"/>
      <w:sz w:val="13"/>
      <w:szCs w:val="13"/>
      <w:u w:val="none"/>
    </w:rPr>
  </w:style>
  <w:style w:type="character" w:customStyle="1" w:styleId="11">
    <w:name w:val="item-name"/>
    <w:basedOn w:val="7"/>
    <w:autoRedefine/>
    <w:qFormat/>
    <w:uiPriority w:val="0"/>
  </w:style>
  <w:style w:type="character" w:customStyle="1" w:styleId="12">
    <w:name w:val="item-name1"/>
    <w:basedOn w:val="7"/>
    <w:autoRedefine/>
    <w:qFormat/>
    <w:uiPriority w:val="0"/>
  </w:style>
  <w:style w:type="character" w:customStyle="1" w:styleId="13">
    <w:name w:val="current1"/>
    <w:basedOn w:val="7"/>
    <w:autoRedefine/>
    <w:qFormat/>
    <w:uiPriority w:val="0"/>
    <w:rPr>
      <w:b/>
      <w:bCs/>
    </w:rPr>
  </w:style>
  <w:style w:type="character" w:customStyle="1" w:styleId="14">
    <w:name w:val="未处理的提及1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7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0F7D-FF68-4408-A4CD-A2CFC85500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1286</Words>
  <Characters>1352</Characters>
  <Lines>11</Lines>
  <Paragraphs>3</Paragraphs>
  <TotalTime>73</TotalTime>
  <ScaleCrop>false</ScaleCrop>
  <LinksUpToDate>false</LinksUpToDate>
  <CharactersWithSpaces>1387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2022-08-23T05:27:00Z</dcterms:created>
  <dc:creator>Huangwen</dc:creator>
  <cp:lastModifiedBy>HELLO</cp:lastModifiedBy>
  <dcterms:modified xsi:type="dcterms:W3CDTF">2025-09-12T00:44:57Z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8F5F8A99D21E4D4C92671D85FDB674CC_13</vt:lpwstr>
  </property>
  <property fmtid="{D5CDD505-2E9C-101B-9397-08002B2CF9AE}" pid="4" name="KSOTemplateDocerSaveRecord">
    <vt:lpwstr>eyJoZGlkIjoiZjRiMzk0N2IzYWZhZjhiZTBiMDdhOTVkMzRkZDcyNDAiLCJ1c2VySWQiOiI0NTA5MzM1NDYifQ==</vt:lpwstr>
  </property>
</Properties>
</file>